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863A">
      <w:pPr>
        <w:pStyle w:val="2"/>
        <w:jc w:val="center"/>
        <w:rPr>
          <w:sz w:val="32"/>
          <w:szCs w:val="32"/>
        </w:rPr>
      </w:pPr>
      <w:r>
        <w:rPr>
          <w:rFonts w:hint="eastAsia"/>
          <w:sz w:val="32"/>
          <w:szCs w:val="32"/>
        </w:rPr>
        <w:t>耐火材料产品碳足迹核算分享会议工作方案</w:t>
      </w:r>
    </w:p>
    <w:p w14:paraId="54973454">
      <w:pPr>
        <w:spacing w:line="360" w:lineRule="auto"/>
        <w:ind w:firstLine="560" w:firstLineChars="200"/>
        <w:rPr>
          <w:rFonts w:ascii="黑体" w:hAnsi="黑体" w:eastAsia="黑体"/>
          <w:sz w:val="28"/>
          <w:szCs w:val="28"/>
        </w:rPr>
      </w:pPr>
      <w:r>
        <w:rPr>
          <w:rFonts w:hint="eastAsia" w:ascii="黑体" w:hAnsi="黑体" w:eastAsia="黑体"/>
          <w:sz w:val="28"/>
          <w:szCs w:val="28"/>
        </w:rPr>
        <w:t>一、目的意义</w:t>
      </w:r>
    </w:p>
    <w:p w14:paraId="415C42A7">
      <w:pPr>
        <w:spacing w:line="360" w:lineRule="auto"/>
        <w:ind w:firstLine="480" w:firstLineChars="200"/>
        <w:rPr>
          <w:rFonts w:ascii="宋体" w:hAnsi="宋体" w:eastAsia="宋体"/>
          <w:sz w:val="24"/>
          <w:szCs w:val="24"/>
        </w:rPr>
      </w:pPr>
      <w:r>
        <w:rPr>
          <w:rFonts w:hint="eastAsia" w:ascii="宋体" w:hAnsi="宋体" w:eastAsia="宋体"/>
          <w:sz w:val="24"/>
          <w:szCs w:val="24"/>
        </w:rPr>
        <w:t>1、政策背景</w:t>
      </w:r>
    </w:p>
    <w:p w14:paraId="18DB9D48">
      <w:pPr>
        <w:spacing w:line="360" w:lineRule="auto"/>
        <w:ind w:firstLine="480" w:firstLineChars="200"/>
        <w:rPr>
          <w:rFonts w:ascii="宋体" w:hAnsi="宋体" w:eastAsia="宋体"/>
          <w:b/>
          <w:sz w:val="24"/>
          <w:szCs w:val="24"/>
        </w:rPr>
      </w:pPr>
      <w:r>
        <w:rPr>
          <w:rFonts w:hint="eastAsia" w:ascii="宋体" w:hAnsi="宋体" w:eastAsia="宋体"/>
          <w:sz w:val="24"/>
          <w:szCs w:val="24"/>
        </w:rPr>
        <w:t>国际上全球变暖的论断，截至目前，始终“此起彼伏，不绝于耳”。包括欧盟在内的全球主要经济体，都已经或者计划出台关于产品碳关税的政策。去年2023年11月13日国家发展和改革委联合工业和信息化部、市场监管总局、城乡建设部以及交通运输部发布了《国家发展改革委等部门关于加快建立产品碳足迹管理体系的意见》。就在上个月，2024年5月22日</w:t>
      </w:r>
      <w:r>
        <w:rPr>
          <w:rFonts w:ascii="宋体" w:hAnsi="宋体" w:eastAsia="宋体"/>
          <w:sz w:val="24"/>
          <w:szCs w:val="24"/>
        </w:rPr>
        <w:t>生态环境部等十五部门联合印发《关于建立碳足迹管理体系的实施方案》</w:t>
      </w:r>
      <w:r>
        <w:rPr>
          <w:rFonts w:hint="eastAsia" w:ascii="宋体" w:hAnsi="宋体" w:eastAsia="宋体"/>
          <w:sz w:val="24"/>
          <w:szCs w:val="24"/>
        </w:rPr>
        <w:t>（以下简称方案）</w:t>
      </w:r>
      <w:r>
        <w:rPr>
          <w:rFonts w:ascii="宋体" w:hAnsi="宋体" w:eastAsia="宋体"/>
          <w:sz w:val="24"/>
          <w:szCs w:val="24"/>
        </w:rPr>
        <w:t>，旨在加快建立我国碳足迹管理体系，促进生产生活方式绿色低碳转型，增进碳足迹工作国际交流互信，助力“双碳”目标实现。</w:t>
      </w:r>
      <w:r>
        <w:rPr>
          <w:rFonts w:hint="eastAsia" w:ascii="宋体" w:hAnsi="宋体" w:eastAsia="宋体"/>
          <w:sz w:val="24"/>
          <w:szCs w:val="24"/>
        </w:rPr>
        <w:t>从这种十五部委联合出台的文件可以看出，</w:t>
      </w:r>
      <w:r>
        <w:rPr>
          <w:rFonts w:hint="eastAsia" w:ascii="宋体" w:hAnsi="宋体" w:eastAsia="宋体"/>
          <w:b/>
          <w:sz w:val="24"/>
          <w:szCs w:val="24"/>
        </w:rPr>
        <w:t>我国已经完成了碳足迹的顶层设计，产品碳足迹将作为我国经济社会绿色低碳高质量发展的另一个有力抓手，相关工作的大范围实施必将迅速展开。</w:t>
      </w:r>
    </w:p>
    <w:p w14:paraId="1890B639">
      <w:pPr>
        <w:spacing w:line="360" w:lineRule="auto"/>
        <w:ind w:firstLine="480" w:firstLineChars="200"/>
        <w:rPr>
          <w:rFonts w:ascii="宋体" w:hAnsi="宋体" w:eastAsia="宋体"/>
          <w:sz w:val="24"/>
          <w:szCs w:val="24"/>
        </w:rPr>
      </w:pPr>
      <w:r>
        <w:rPr>
          <w:rFonts w:hint="eastAsia" w:ascii="宋体" w:hAnsi="宋体" w:eastAsia="宋体"/>
          <w:sz w:val="24"/>
          <w:szCs w:val="24"/>
        </w:rPr>
        <w:t>2、目的意义</w:t>
      </w:r>
    </w:p>
    <w:p w14:paraId="7C0E1619">
      <w:pPr>
        <w:spacing w:line="360" w:lineRule="auto"/>
        <w:ind w:firstLine="480" w:firstLineChars="200"/>
        <w:rPr>
          <w:rFonts w:ascii="宋体" w:hAnsi="宋体" w:eastAsia="宋体"/>
          <w:sz w:val="24"/>
          <w:szCs w:val="24"/>
        </w:rPr>
      </w:pPr>
      <w:r>
        <w:rPr>
          <w:rFonts w:hint="eastAsia" w:ascii="宋体" w:hAnsi="宋体" w:eastAsia="宋体"/>
          <w:sz w:val="24"/>
          <w:szCs w:val="24"/>
        </w:rPr>
        <w:t>我国在推进“双碳”目标实现的大趋势下，为了积极应对国际的贸易壁垒，行业与企业层面应</w:t>
      </w:r>
      <w:r>
        <w:rPr>
          <w:rFonts w:ascii="宋体" w:hAnsi="宋体" w:eastAsia="宋体"/>
          <w:sz w:val="24"/>
          <w:szCs w:val="24"/>
        </w:rPr>
        <w:t>尽快</w:t>
      </w:r>
      <w:r>
        <w:rPr>
          <w:rFonts w:hint="eastAsia" w:ascii="宋体" w:hAnsi="宋体" w:eastAsia="宋体"/>
          <w:sz w:val="24"/>
          <w:szCs w:val="24"/>
        </w:rPr>
        <w:t>落实产品</w:t>
      </w:r>
      <w:r>
        <w:rPr>
          <w:rFonts w:ascii="宋体" w:hAnsi="宋体" w:eastAsia="宋体"/>
          <w:sz w:val="24"/>
          <w:szCs w:val="24"/>
        </w:rPr>
        <w:t>碳足迹核算工作。</w:t>
      </w:r>
      <w:r>
        <w:rPr>
          <w:rFonts w:hint="eastAsia" w:ascii="宋体" w:hAnsi="宋体" w:eastAsia="宋体"/>
          <w:sz w:val="24"/>
          <w:szCs w:val="24"/>
        </w:rPr>
        <w:t>无论是出口企业，还是非出口企业，很快都将迎来国际贸易和国家“双碳”背景下相关领域，关于产品碳足迹核算数据收集与报告的直接或者间接约束。</w:t>
      </w:r>
    </w:p>
    <w:p w14:paraId="4EA07BA1">
      <w:pPr>
        <w:spacing w:line="360" w:lineRule="auto"/>
        <w:ind w:firstLine="480" w:firstLineChars="200"/>
        <w:rPr>
          <w:rFonts w:ascii="宋体" w:hAnsi="宋体" w:eastAsia="宋体"/>
          <w:sz w:val="24"/>
          <w:szCs w:val="24"/>
        </w:rPr>
      </w:pPr>
      <w:r>
        <w:rPr>
          <w:rFonts w:hint="eastAsia" w:ascii="宋体" w:hAnsi="宋体" w:eastAsia="宋体"/>
          <w:sz w:val="24"/>
          <w:szCs w:val="24"/>
        </w:rPr>
        <w:t>本次方案中明文纳入产品碳足迹核算的重点产品包括：钢铁、水泥和玻璃等高能耗基础原材料，推动这些基础原材料的碳足迹核算，可以为宏观场景进行碳排放核算打下数据支撑的基础。耐火材料作为高温工业发展与革新的重要基石，其产品碳足迹核算工作尤为重要，因为耐火材料的保温隔热性能将直接影响上述产品生产过程的能耗，进而影响其碳足迹。</w:t>
      </w:r>
    </w:p>
    <w:p w14:paraId="25ED1731">
      <w:pPr>
        <w:spacing w:line="360" w:lineRule="auto"/>
        <w:ind w:firstLine="480" w:firstLineChars="200"/>
        <w:rPr>
          <w:rFonts w:ascii="宋体" w:hAnsi="宋体" w:eastAsia="宋体"/>
          <w:sz w:val="24"/>
          <w:szCs w:val="24"/>
        </w:rPr>
      </w:pPr>
      <w:r>
        <w:rPr>
          <w:rFonts w:hint="eastAsia" w:ascii="宋体" w:hAnsi="宋体" w:eastAsia="宋体"/>
          <w:sz w:val="24"/>
          <w:szCs w:val="24"/>
        </w:rPr>
        <w:t>随着国家政策的出台，各地方也将因地制宜地出台相关政策，从方案中可以具体看出，产品碳足迹核算工作将从以下几个方面对企业产生影响：</w:t>
      </w:r>
    </w:p>
    <w:p w14:paraId="162A0504">
      <w:pPr>
        <w:spacing w:line="360" w:lineRule="auto"/>
        <w:ind w:firstLine="482" w:firstLineChars="200"/>
        <w:rPr>
          <w:rFonts w:ascii="宋体" w:hAnsi="宋体" w:eastAsia="宋体"/>
          <w:sz w:val="24"/>
          <w:szCs w:val="24"/>
        </w:rPr>
      </w:pPr>
      <w:r>
        <w:rPr>
          <w:rFonts w:hint="eastAsia" w:ascii="宋体" w:hAnsi="宋体" w:eastAsia="宋体"/>
          <w:b/>
          <w:sz w:val="24"/>
          <w:szCs w:val="24"/>
        </w:rPr>
        <w:t>（1）建立实施分级管理制度</w:t>
      </w:r>
      <w:r>
        <w:rPr>
          <w:rFonts w:hint="eastAsia" w:ascii="宋体" w:hAnsi="宋体" w:eastAsia="宋体"/>
          <w:sz w:val="24"/>
          <w:szCs w:val="24"/>
        </w:rPr>
        <w:t>。随着该制度的建立，同类耐火材料</w:t>
      </w:r>
      <w:r>
        <w:rPr>
          <w:rFonts w:hint="eastAsia" w:ascii="宋体" w:hAnsi="宋体" w:eastAsia="宋体"/>
          <w:sz w:val="24"/>
          <w:szCs w:val="24"/>
          <w:u w:val="single"/>
        </w:rPr>
        <w:t>产品碳足迹低，那么将会更加受到客户的青睐，市场竞争力将得到提升。</w:t>
      </w:r>
      <w:r>
        <w:rPr>
          <w:rFonts w:hint="eastAsia" w:ascii="宋体" w:hAnsi="宋体" w:eastAsia="宋体"/>
          <w:sz w:val="24"/>
          <w:szCs w:val="24"/>
        </w:rPr>
        <w:t>因为下游客户也需要进行碳足迹核算与披露，其上游产品的碳足迹高低，是其采购优先考虑的因素之一，特别是哪些国有企业客户。</w:t>
      </w:r>
    </w:p>
    <w:p w14:paraId="650F347B">
      <w:pPr>
        <w:spacing w:line="360" w:lineRule="auto"/>
        <w:ind w:firstLine="482" w:firstLineChars="200"/>
        <w:rPr>
          <w:rFonts w:ascii="宋体" w:hAnsi="宋体" w:eastAsia="宋体"/>
          <w:sz w:val="24"/>
          <w:szCs w:val="24"/>
        </w:rPr>
      </w:pPr>
      <w:r>
        <w:rPr>
          <w:rFonts w:hint="eastAsia" w:ascii="宋体" w:hAnsi="宋体" w:eastAsia="宋体"/>
          <w:b/>
          <w:sz w:val="24"/>
          <w:szCs w:val="24"/>
        </w:rPr>
        <w:t>（2）金融支持力度不断加大</w:t>
      </w:r>
      <w:r>
        <w:rPr>
          <w:rFonts w:hint="eastAsia" w:ascii="宋体" w:hAnsi="宋体" w:eastAsia="宋体"/>
          <w:sz w:val="24"/>
          <w:szCs w:val="24"/>
        </w:rPr>
        <w:t>。毫无疑问，未来企业发展所涉及的</w:t>
      </w:r>
      <w:r>
        <w:rPr>
          <w:rFonts w:hint="eastAsia" w:ascii="宋体" w:hAnsi="宋体" w:eastAsia="宋体"/>
          <w:sz w:val="24"/>
          <w:szCs w:val="24"/>
          <w:u w:val="single"/>
        </w:rPr>
        <w:t>投资、融资等方面，可能将与产品碳足迹挂钩。</w:t>
      </w:r>
      <w:r>
        <w:rPr>
          <w:rFonts w:hint="eastAsia" w:ascii="宋体" w:hAnsi="宋体" w:eastAsia="宋体"/>
          <w:sz w:val="24"/>
          <w:szCs w:val="24"/>
        </w:rPr>
        <w:t>如果企业能做好前期工作，那就掌握一定的主动权，会得到更有力度或者优惠的金融支持。</w:t>
      </w:r>
    </w:p>
    <w:p w14:paraId="135D3E35">
      <w:pPr>
        <w:spacing w:line="360" w:lineRule="auto"/>
        <w:ind w:firstLine="482" w:firstLineChars="200"/>
        <w:rPr>
          <w:rFonts w:ascii="宋体" w:hAnsi="宋体" w:eastAsia="宋体"/>
          <w:sz w:val="24"/>
          <w:szCs w:val="24"/>
        </w:rPr>
      </w:pPr>
      <w:r>
        <w:rPr>
          <w:rFonts w:hint="eastAsia" w:ascii="宋体" w:hAnsi="宋体" w:eastAsia="宋体"/>
          <w:b/>
          <w:sz w:val="24"/>
          <w:szCs w:val="24"/>
        </w:rPr>
        <w:t>（3）政策协同联动趋势明显。</w:t>
      </w:r>
      <w:r>
        <w:rPr>
          <w:rFonts w:hint="eastAsia" w:ascii="宋体" w:hAnsi="宋体" w:eastAsia="宋体"/>
          <w:sz w:val="24"/>
          <w:szCs w:val="24"/>
        </w:rPr>
        <w:t>相关财政、产业以及科学技术等政策的内容中，将会</w:t>
      </w:r>
      <w:r>
        <w:rPr>
          <w:rFonts w:hint="eastAsia" w:ascii="宋体" w:hAnsi="宋体" w:eastAsia="宋体"/>
          <w:sz w:val="24"/>
          <w:szCs w:val="24"/>
          <w:u w:val="single"/>
        </w:rPr>
        <w:t>包含制造企业产品碳足迹披露的要求</w:t>
      </w:r>
      <w:r>
        <w:rPr>
          <w:rFonts w:hint="eastAsia" w:ascii="宋体" w:hAnsi="宋体" w:eastAsia="宋体"/>
          <w:sz w:val="24"/>
          <w:szCs w:val="24"/>
        </w:rPr>
        <w:t>。比如现在企业申报绿色工厂的时候，如果做过碳足迹，那么该项得分就可以拿到，绿色工厂评级分数就会提高，申请下来的可能性就会增加。</w:t>
      </w:r>
    </w:p>
    <w:p w14:paraId="7B2843D4">
      <w:pPr>
        <w:spacing w:line="360" w:lineRule="auto"/>
        <w:ind w:firstLine="482" w:firstLineChars="200"/>
        <w:rPr>
          <w:rFonts w:ascii="宋体" w:hAnsi="宋体" w:eastAsia="宋体"/>
          <w:sz w:val="24"/>
          <w:szCs w:val="24"/>
        </w:rPr>
      </w:pPr>
      <w:r>
        <w:rPr>
          <w:rFonts w:hint="eastAsia" w:ascii="宋体" w:hAnsi="宋体" w:eastAsia="宋体"/>
          <w:b/>
          <w:sz w:val="24"/>
          <w:szCs w:val="24"/>
        </w:rPr>
        <w:t>（4）应用场景将扩大和推广。</w:t>
      </w:r>
      <w:r>
        <w:rPr>
          <w:rFonts w:hint="eastAsia" w:ascii="宋体" w:hAnsi="宋体" w:eastAsia="宋体"/>
          <w:sz w:val="24"/>
          <w:szCs w:val="24"/>
        </w:rPr>
        <w:t>方案中明文要求，适当时，</w:t>
      </w:r>
      <w:r>
        <w:rPr>
          <w:rFonts w:hint="eastAsia" w:ascii="宋体" w:hAnsi="宋体" w:eastAsia="宋体"/>
          <w:sz w:val="24"/>
          <w:szCs w:val="24"/>
          <w:u w:val="single"/>
        </w:rPr>
        <w:t>政府采购需要供应商提供产品碳足迹报告。</w:t>
      </w:r>
      <w:r>
        <w:rPr>
          <w:rFonts w:hint="eastAsia" w:ascii="宋体" w:hAnsi="宋体" w:eastAsia="宋体"/>
          <w:sz w:val="24"/>
          <w:szCs w:val="24"/>
        </w:rPr>
        <w:t>虽然方案中讲的是“适时”，但如果想获得政府的订单，制造企业的碳足迹报告，一定还是要有的。方案中还提到，</w:t>
      </w:r>
      <w:r>
        <w:rPr>
          <w:rFonts w:hint="eastAsia" w:ascii="宋体" w:hAnsi="宋体" w:eastAsia="宋体"/>
          <w:sz w:val="24"/>
          <w:szCs w:val="24"/>
          <w:u w:val="single"/>
        </w:rPr>
        <w:t>鼓励国有企业在采购环节，增加对供应商的产品碳足迹的相关要求。</w:t>
      </w:r>
    </w:p>
    <w:p w14:paraId="265701B8">
      <w:pPr>
        <w:spacing w:line="360" w:lineRule="auto"/>
        <w:ind w:firstLine="480" w:firstLineChars="200"/>
        <w:rPr>
          <w:rFonts w:ascii="宋体" w:hAnsi="宋体" w:eastAsia="宋体"/>
          <w:sz w:val="24"/>
          <w:szCs w:val="24"/>
        </w:rPr>
      </w:pPr>
      <w:r>
        <w:rPr>
          <w:rFonts w:hint="eastAsia" w:ascii="宋体" w:hAnsi="宋体" w:eastAsia="宋体"/>
          <w:sz w:val="24"/>
          <w:szCs w:val="24"/>
        </w:rPr>
        <w:t>综上所述，对于出口企业来说，应该加快产品</w:t>
      </w:r>
      <w:r>
        <w:rPr>
          <w:rFonts w:ascii="宋体" w:hAnsi="宋体" w:eastAsia="宋体"/>
          <w:sz w:val="24"/>
          <w:szCs w:val="24"/>
        </w:rPr>
        <w:t>碳足迹核算</w:t>
      </w:r>
      <w:r>
        <w:rPr>
          <w:rFonts w:hint="eastAsia" w:ascii="宋体" w:hAnsi="宋体" w:eastAsia="宋体"/>
          <w:sz w:val="24"/>
          <w:szCs w:val="24"/>
        </w:rPr>
        <w:t>以及数据积累的脚步，毕竟这些工作</w:t>
      </w:r>
      <w:r>
        <w:rPr>
          <w:rFonts w:ascii="宋体" w:hAnsi="宋体" w:eastAsia="宋体"/>
          <w:sz w:val="24"/>
          <w:szCs w:val="24"/>
        </w:rPr>
        <w:t>是企业</w:t>
      </w:r>
      <w:r>
        <w:rPr>
          <w:rFonts w:hint="eastAsia" w:ascii="宋体" w:hAnsi="宋体" w:eastAsia="宋体"/>
          <w:sz w:val="24"/>
          <w:szCs w:val="24"/>
        </w:rPr>
        <w:t>在国际</w:t>
      </w:r>
      <w:r>
        <w:rPr>
          <w:rFonts w:ascii="宋体" w:hAnsi="宋体" w:eastAsia="宋体"/>
          <w:sz w:val="24"/>
          <w:szCs w:val="24"/>
        </w:rPr>
        <w:t>碳市场</w:t>
      </w:r>
      <w:r>
        <w:rPr>
          <w:rFonts w:hint="eastAsia" w:ascii="宋体" w:hAnsi="宋体" w:eastAsia="宋体"/>
          <w:sz w:val="24"/>
          <w:szCs w:val="24"/>
        </w:rPr>
        <w:t>环境下提高</w:t>
      </w:r>
      <w:r>
        <w:rPr>
          <w:rFonts w:ascii="宋体" w:hAnsi="宋体" w:eastAsia="宋体"/>
          <w:sz w:val="24"/>
          <w:szCs w:val="24"/>
        </w:rPr>
        <w:t>生存能力</w:t>
      </w:r>
      <w:r>
        <w:rPr>
          <w:rFonts w:hint="eastAsia" w:ascii="宋体" w:hAnsi="宋体" w:eastAsia="宋体"/>
          <w:sz w:val="24"/>
          <w:szCs w:val="24"/>
        </w:rPr>
        <w:t>的保证之一。而非出口型企业，也应积极应对各地方可能密集出台的相关政策，“站高远眺，未雨绸缪，抓住机遇”；从培养人才开始，从数据收集着眼，先行先试，积极面对发展和变革。</w:t>
      </w:r>
    </w:p>
    <w:p w14:paraId="7BFD0357">
      <w:pPr>
        <w:spacing w:line="360" w:lineRule="auto"/>
        <w:ind w:firstLine="560" w:firstLineChars="200"/>
        <w:rPr>
          <w:rFonts w:ascii="黑体" w:hAnsi="黑体" w:eastAsia="黑体"/>
          <w:sz w:val="28"/>
          <w:szCs w:val="28"/>
        </w:rPr>
      </w:pPr>
      <w:r>
        <w:rPr>
          <w:rFonts w:hint="eastAsia" w:ascii="黑体" w:hAnsi="黑体" w:eastAsia="黑体"/>
          <w:sz w:val="28"/>
          <w:szCs w:val="28"/>
        </w:rPr>
        <w:t>二、参会人员</w:t>
      </w:r>
    </w:p>
    <w:p w14:paraId="178B933C">
      <w:pPr>
        <w:spacing w:line="360" w:lineRule="auto"/>
        <w:ind w:firstLine="480" w:firstLineChars="200"/>
        <w:rPr>
          <w:rFonts w:ascii="宋体" w:hAnsi="宋体" w:eastAsia="宋体"/>
          <w:sz w:val="24"/>
          <w:szCs w:val="24"/>
        </w:rPr>
      </w:pPr>
      <w:r>
        <w:rPr>
          <w:rFonts w:hint="eastAsia" w:ascii="宋体" w:hAnsi="宋体" w:eastAsia="宋体"/>
          <w:sz w:val="24"/>
          <w:szCs w:val="24"/>
        </w:rPr>
        <w:t>为了便于企业选派人员参加会议，从产品碳足迹核算技术流程出发，简单给出一些分析：从控制温室气体排放这个大领域范畴内讨论，产品碳足迹和企业碳排放核算概念与核算范围不同，理论方法不同，复杂程度不同，但内容相似相近。产品碳足迹核算过程并不像热工和电气节能领域所涉及的专业众多，还需要有复杂的数学知识作为支撑。碳足迹核算更多的是掌握方法，搞清规则，并在此基础上收集数据、计算数据（加减乘除）并分析数据，得出结论。</w:t>
      </w:r>
    </w:p>
    <w:p w14:paraId="35EBB7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从耐火材料产品碳足迹核算工作本身分析，碳足迹核算涉及的环节包括：生产全流程（须了解生产工艺特点），产品售后（须掌握产品使用功能和特性）以及原材料采购（了解供货方企业经营情况）等等。</w:t>
      </w:r>
    </w:p>
    <w:p w14:paraId="3C4A2055">
      <w:pPr>
        <w:spacing w:line="360" w:lineRule="auto"/>
        <w:ind w:firstLine="480" w:firstLineChars="200"/>
        <w:rPr>
          <w:rFonts w:ascii="宋体" w:hAnsi="宋体" w:eastAsia="宋体"/>
          <w:sz w:val="24"/>
          <w:szCs w:val="24"/>
        </w:rPr>
      </w:pPr>
      <w:r>
        <w:rPr>
          <w:rFonts w:hint="eastAsia" w:ascii="宋体" w:hAnsi="宋体" w:eastAsia="宋体"/>
          <w:sz w:val="24"/>
          <w:szCs w:val="24"/>
        </w:rPr>
        <w:t>综上所述，建议参会人员来源及说明如表1所示：</w:t>
      </w:r>
    </w:p>
    <w:p w14:paraId="0AF479EE">
      <w:pPr>
        <w:spacing w:line="360" w:lineRule="auto"/>
        <w:ind w:firstLine="420" w:firstLineChars="200"/>
        <w:jc w:val="center"/>
        <w:rPr>
          <w:rFonts w:ascii="宋体" w:hAnsi="宋体" w:eastAsia="宋体"/>
          <w:szCs w:val="21"/>
        </w:rPr>
      </w:pPr>
      <w:r>
        <w:rPr>
          <w:rFonts w:hint="eastAsia" w:ascii="宋体" w:hAnsi="宋体" w:eastAsia="宋体"/>
          <w:szCs w:val="21"/>
        </w:rPr>
        <w:t>表1</w:t>
      </w:r>
      <w:r>
        <w:rPr>
          <w:rFonts w:ascii="宋体" w:hAnsi="宋体" w:eastAsia="宋体"/>
          <w:szCs w:val="21"/>
        </w:rPr>
        <w:t xml:space="preserve"> </w:t>
      </w:r>
      <w:r>
        <w:rPr>
          <w:rFonts w:hint="eastAsia" w:ascii="宋体" w:hAnsi="宋体" w:eastAsia="宋体"/>
          <w:szCs w:val="21"/>
        </w:rPr>
        <w:t>企业派员参加产品碳足迹培训会的建议和说明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5040"/>
      </w:tblGrid>
      <w:tr w14:paraId="4C1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153FABE">
            <w:pPr>
              <w:jc w:val="center"/>
              <w:rPr>
                <w:rFonts w:hint="eastAsia" w:ascii="宋体" w:hAnsi="宋体" w:eastAsia="宋体"/>
                <w:szCs w:val="21"/>
              </w:rPr>
            </w:pPr>
            <w:r>
              <w:rPr>
                <w:rFonts w:hint="eastAsia" w:ascii="宋体" w:hAnsi="宋体" w:eastAsia="宋体"/>
                <w:szCs w:val="21"/>
              </w:rPr>
              <w:t>序号</w:t>
            </w:r>
          </w:p>
        </w:tc>
        <w:tc>
          <w:tcPr>
            <w:tcW w:w="2552" w:type="dxa"/>
          </w:tcPr>
          <w:p w14:paraId="7DC71B45">
            <w:pPr>
              <w:jc w:val="center"/>
              <w:rPr>
                <w:rFonts w:hint="eastAsia" w:ascii="宋体" w:hAnsi="宋体" w:eastAsia="宋体"/>
                <w:szCs w:val="21"/>
              </w:rPr>
            </w:pPr>
            <w:r>
              <w:rPr>
                <w:rFonts w:hint="eastAsia" w:ascii="宋体" w:hAnsi="宋体" w:eastAsia="宋体"/>
                <w:szCs w:val="21"/>
              </w:rPr>
              <w:t>参会人员类别</w:t>
            </w:r>
          </w:p>
        </w:tc>
        <w:tc>
          <w:tcPr>
            <w:tcW w:w="5040" w:type="dxa"/>
          </w:tcPr>
          <w:p w14:paraId="5A6E1482">
            <w:pPr>
              <w:jc w:val="center"/>
              <w:rPr>
                <w:rFonts w:hint="eastAsia" w:ascii="宋体" w:hAnsi="宋体" w:eastAsia="宋体"/>
                <w:szCs w:val="21"/>
              </w:rPr>
            </w:pPr>
            <w:r>
              <w:rPr>
                <w:rFonts w:hint="eastAsia" w:ascii="宋体" w:hAnsi="宋体" w:eastAsia="宋体"/>
                <w:szCs w:val="21"/>
              </w:rPr>
              <w:t>听课目的</w:t>
            </w:r>
          </w:p>
        </w:tc>
      </w:tr>
      <w:tr w14:paraId="07EE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7E241B3">
            <w:pPr>
              <w:jc w:val="center"/>
              <w:rPr>
                <w:rFonts w:hint="eastAsia" w:ascii="宋体" w:hAnsi="宋体" w:eastAsia="宋体"/>
                <w:szCs w:val="21"/>
              </w:rPr>
            </w:pPr>
            <w:r>
              <w:rPr>
                <w:rFonts w:hint="eastAsia" w:ascii="宋体" w:hAnsi="宋体" w:eastAsia="宋体"/>
                <w:szCs w:val="21"/>
              </w:rPr>
              <w:t>1</w:t>
            </w:r>
          </w:p>
        </w:tc>
        <w:tc>
          <w:tcPr>
            <w:tcW w:w="2552" w:type="dxa"/>
            <w:vAlign w:val="center"/>
          </w:tcPr>
          <w:p w14:paraId="3DFF76AD">
            <w:pPr>
              <w:jc w:val="left"/>
              <w:rPr>
                <w:rFonts w:hint="eastAsia" w:ascii="宋体" w:hAnsi="宋体" w:eastAsia="宋体"/>
                <w:szCs w:val="21"/>
              </w:rPr>
            </w:pPr>
            <w:r>
              <w:rPr>
                <w:rFonts w:hint="eastAsia" w:ascii="宋体" w:hAnsi="宋体" w:eastAsia="宋体"/>
                <w:szCs w:val="21"/>
              </w:rPr>
              <w:t>负责生产、工艺与能源的高层领导</w:t>
            </w:r>
          </w:p>
        </w:tc>
        <w:tc>
          <w:tcPr>
            <w:tcW w:w="5040" w:type="dxa"/>
            <w:vAlign w:val="center"/>
          </w:tcPr>
          <w:p w14:paraId="0C788E10">
            <w:pPr>
              <w:jc w:val="left"/>
              <w:rPr>
                <w:rFonts w:hint="eastAsia" w:ascii="宋体" w:hAnsi="宋体" w:eastAsia="宋体"/>
                <w:szCs w:val="21"/>
              </w:rPr>
            </w:pPr>
            <w:r>
              <w:rPr>
                <w:rFonts w:hint="eastAsia" w:ascii="宋体" w:hAnsi="宋体" w:eastAsia="宋体"/>
                <w:szCs w:val="21"/>
              </w:rPr>
              <w:t>掌握目前国家政策动态的前提下，熟悉了解碳足迹核算概念、定义、规则、标准以及核算工作流程，并结合自身企业产品生产过程，设计并指导碳足迹核算工作。</w:t>
            </w:r>
          </w:p>
        </w:tc>
      </w:tr>
      <w:tr w14:paraId="38FA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A62E014">
            <w:pPr>
              <w:jc w:val="center"/>
              <w:rPr>
                <w:rFonts w:hint="eastAsia" w:ascii="宋体" w:hAnsi="宋体" w:eastAsia="宋体"/>
                <w:szCs w:val="21"/>
              </w:rPr>
            </w:pPr>
            <w:r>
              <w:rPr>
                <w:rFonts w:hint="eastAsia" w:ascii="宋体" w:hAnsi="宋体" w:eastAsia="宋体"/>
                <w:szCs w:val="21"/>
              </w:rPr>
              <w:t>2</w:t>
            </w:r>
          </w:p>
        </w:tc>
        <w:tc>
          <w:tcPr>
            <w:tcW w:w="2552" w:type="dxa"/>
            <w:vAlign w:val="center"/>
          </w:tcPr>
          <w:p w14:paraId="6E3B55CD">
            <w:pPr>
              <w:jc w:val="left"/>
              <w:rPr>
                <w:rFonts w:hint="eastAsia" w:ascii="宋体" w:hAnsi="宋体" w:eastAsia="宋体"/>
                <w:szCs w:val="21"/>
              </w:rPr>
            </w:pPr>
            <w:r>
              <w:rPr>
                <w:rFonts w:hint="eastAsia" w:ascii="宋体" w:hAnsi="宋体" w:eastAsia="宋体"/>
                <w:szCs w:val="21"/>
              </w:rPr>
              <w:t>负责工艺、能源统计、碳排放核查、环保以及设备运行相关技术骨干。</w:t>
            </w:r>
          </w:p>
        </w:tc>
        <w:tc>
          <w:tcPr>
            <w:tcW w:w="5040" w:type="dxa"/>
            <w:vAlign w:val="center"/>
          </w:tcPr>
          <w:p w14:paraId="755780F2">
            <w:pPr>
              <w:jc w:val="left"/>
              <w:rPr>
                <w:rFonts w:hint="eastAsia" w:ascii="宋体" w:hAnsi="宋体" w:eastAsia="宋体"/>
                <w:szCs w:val="21"/>
              </w:rPr>
            </w:pPr>
            <w:r>
              <w:rPr>
                <w:rFonts w:hint="eastAsia" w:ascii="宋体" w:hAnsi="宋体" w:eastAsia="宋体"/>
                <w:szCs w:val="21"/>
              </w:rPr>
              <w:t>掌握产品碳足迹核算方法、流程和分析方法，为日后本企业产品碳足迹打基础。</w:t>
            </w:r>
          </w:p>
        </w:tc>
      </w:tr>
      <w:tr w14:paraId="4CB3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BBCA0F2">
            <w:pPr>
              <w:jc w:val="center"/>
              <w:rPr>
                <w:rFonts w:hint="eastAsia" w:ascii="宋体" w:hAnsi="宋体" w:eastAsia="宋体"/>
                <w:szCs w:val="21"/>
              </w:rPr>
            </w:pPr>
            <w:r>
              <w:rPr>
                <w:rFonts w:hint="eastAsia" w:ascii="宋体" w:hAnsi="宋体" w:eastAsia="宋体"/>
                <w:szCs w:val="21"/>
              </w:rPr>
              <w:t>3</w:t>
            </w:r>
          </w:p>
        </w:tc>
        <w:tc>
          <w:tcPr>
            <w:tcW w:w="2552" w:type="dxa"/>
            <w:vAlign w:val="center"/>
          </w:tcPr>
          <w:p w14:paraId="0E774F5D">
            <w:pPr>
              <w:jc w:val="left"/>
              <w:rPr>
                <w:rFonts w:hint="eastAsia" w:ascii="宋体" w:hAnsi="宋体" w:eastAsia="宋体"/>
                <w:szCs w:val="21"/>
              </w:rPr>
            </w:pPr>
            <w:r>
              <w:rPr>
                <w:rFonts w:hint="eastAsia" w:ascii="宋体" w:hAnsi="宋体" w:eastAsia="宋体"/>
                <w:szCs w:val="21"/>
              </w:rPr>
              <w:t>团体标准编制人员。</w:t>
            </w:r>
          </w:p>
        </w:tc>
        <w:tc>
          <w:tcPr>
            <w:tcW w:w="5040" w:type="dxa"/>
            <w:vAlign w:val="center"/>
          </w:tcPr>
          <w:p w14:paraId="122C688C">
            <w:pPr>
              <w:jc w:val="left"/>
              <w:rPr>
                <w:rFonts w:hint="eastAsia" w:ascii="宋体" w:hAnsi="宋体" w:eastAsia="宋体"/>
                <w:szCs w:val="21"/>
              </w:rPr>
            </w:pPr>
            <w:r>
              <w:rPr>
                <w:rFonts w:hint="eastAsia" w:ascii="宋体" w:hAnsi="宋体" w:eastAsia="宋体"/>
                <w:szCs w:val="21"/>
              </w:rPr>
              <w:t>耐火材料产品碳足迹核算，目前尚未有国家、行业、地方以及团体标准，根据方案精神，鼓励团体标准“先行先立”，企业或协会似乎应争取标准制定的主动权。</w:t>
            </w:r>
          </w:p>
        </w:tc>
      </w:tr>
    </w:tbl>
    <w:p w14:paraId="61E19210">
      <w:pPr>
        <w:spacing w:line="360" w:lineRule="auto"/>
        <w:ind w:firstLine="560" w:firstLineChars="200"/>
        <w:rPr>
          <w:rFonts w:ascii="黑体" w:hAnsi="黑体" w:eastAsia="黑体"/>
          <w:sz w:val="28"/>
          <w:szCs w:val="28"/>
        </w:rPr>
      </w:pPr>
      <w:r>
        <w:rPr>
          <w:rFonts w:hint="eastAsia" w:ascii="黑体" w:hAnsi="黑体" w:eastAsia="黑体"/>
          <w:sz w:val="28"/>
          <w:szCs w:val="28"/>
        </w:rPr>
        <w:t>三、课程定位</w:t>
      </w:r>
    </w:p>
    <w:p w14:paraId="53084BFD">
      <w:pPr>
        <w:spacing w:line="360" w:lineRule="auto"/>
        <w:ind w:firstLine="480" w:firstLineChars="200"/>
        <w:rPr>
          <w:rFonts w:ascii="宋体" w:hAnsi="宋体" w:eastAsia="宋体"/>
          <w:sz w:val="24"/>
          <w:szCs w:val="24"/>
        </w:rPr>
      </w:pPr>
      <w:r>
        <w:rPr>
          <w:rFonts w:hint="eastAsia" w:ascii="宋体" w:hAnsi="宋体" w:eastAsia="宋体"/>
          <w:sz w:val="24"/>
          <w:szCs w:val="24"/>
        </w:rPr>
        <w:t>1、总体定位</w:t>
      </w:r>
    </w:p>
    <w:p w14:paraId="121FDB92">
      <w:pPr>
        <w:spacing w:line="360" w:lineRule="auto"/>
        <w:ind w:firstLine="480" w:firstLineChars="200"/>
        <w:rPr>
          <w:rFonts w:ascii="宋体" w:hAnsi="宋体" w:eastAsia="宋体"/>
          <w:sz w:val="24"/>
          <w:szCs w:val="24"/>
        </w:rPr>
      </w:pPr>
      <w:r>
        <w:rPr>
          <w:rFonts w:hint="eastAsia" w:ascii="宋体" w:hAnsi="宋体" w:eastAsia="宋体"/>
          <w:sz w:val="24"/>
          <w:szCs w:val="24"/>
        </w:rPr>
        <w:t>本次的培训，定位为“耐火材料产品碳足迹核算方法介绍及技术交流会”，分享内容，主要分为两个主题：</w:t>
      </w:r>
    </w:p>
    <w:p w14:paraId="13D9D1BA">
      <w:pPr>
        <w:spacing w:line="360" w:lineRule="auto"/>
        <w:ind w:firstLine="482" w:firstLineChars="200"/>
        <w:rPr>
          <w:rFonts w:ascii="宋体" w:hAnsi="宋体" w:eastAsia="宋体"/>
          <w:sz w:val="24"/>
          <w:szCs w:val="24"/>
        </w:rPr>
      </w:pPr>
      <w:r>
        <w:rPr>
          <w:rFonts w:hint="eastAsia" w:ascii="宋体" w:hAnsi="宋体" w:eastAsia="宋体"/>
          <w:b/>
          <w:sz w:val="24"/>
          <w:szCs w:val="24"/>
        </w:rPr>
        <w:t>第一个主题</w:t>
      </w:r>
      <w:r>
        <w:rPr>
          <w:rFonts w:hint="eastAsia" w:ascii="宋体" w:hAnsi="宋体" w:eastAsia="宋体"/>
          <w:sz w:val="24"/>
          <w:szCs w:val="24"/>
        </w:rPr>
        <w:t>是通用产品碳足迹核算方法以及注意事项。</w:t>
      </w:r>
    </w:p>
    <w:p w14:paraId="5EB84F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该主题介绍通用的产品碳足迹核算相关内容。具体包括：背景、起源、概念、定义、标准、步骤和方法，以及相关注意事项等。</w:t>
      </w:r>
    </w:p>
    <w:p w14:paraId="3FDE33A8">
      <w:pPr>
        <w:spacing w:line="360" w:lineRule="auto"/>
        <w:ind w:firstLine="482" w:firstLineChars="200"/>
        <w:rPr>
          <w:rFonts w:ascii="宋体" w:hAnsi="宋体" w:eastAsia="宋体"/>
          <w:sz w:val="24"/>
          <w:szCs w:val="24"/>
        </w:rPr>
      </w:pPr>
      <w:r>
        <w:rPr>
          <w:rFonts w:hint="eastAsia" w:ascii="宋体" w:hAnsi="宋体" w:eastAsia="宋体"/>
          <w:b/>
          <w:sz w:val="24"/>
          <w:szCs w:val="24"/>
        </w:rPr>
        <w:t>第二个主题</w:t>
      </w:r>
      <w:r>
        <w:rPr>
          <w:rFonts w:hint="eastAsia" w:ascii="宋体" w:hAnsi="宋体" w:eastAsia="宋体"/>
          <w:sz w:val="24"/>
          <w:szCs w:val="24"/>
        </w:rPr>
        <w:t>是耐火材料产品碳足迹核算方法技术交流。</w:t>
      </w:r>
    </w:p>
    <w:p w14:paraId="55B138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使用上一个主题学习到的内容，结合耐火材料产品分类、本身生产工艺、原材料类别、产业链情况（上下游）情况，进行应用与讨论，并对诸如碳足迹范围、功能单位确定，以及基准流等要点难点问题，进行技术讨论。</w:t>
      </w:r>
    </w:p>
    <w:p w14:paraId="3FBDD4C8">
      <w:pPr>
        <w:spacing w:line="360" w:lineRule="auto"/>
        <w:ind w:firstLine="480" w:firstLineChars="200"/>
        <w:rPr>
          <w:rFonts w:ascii="宋体" w:hAnsi="宋体" w:eastAsia="宋体"/>
          <w:sz w:val="24"/>
          <w:szCs w:val="24"/>
        </w:rPr>
      </w:pPr>
      <w:r>
        <w:rPr>
          <w:rFonts w:hint="eastAsia" w:ascii="宋体" w:hAnsi="宋体" w:eastAsia="宋体"/>
          <w:sz w:val="24"/>
          <w:szCs w:val="24"/>
        </w:rPr>
        <w:t>2、特别说明</w:t>
      </w:r>
    </w:p>
    <w:p w14:paraId="5E111780">
      <w:pPr>
        <w:spacing w:line="360" w:lineRule="auto"/>
        <w:ind w:firstLine="480" w:firstLineChars="200"/>
        <w:rPr>
          <w:rFonts w:ascii="宋体" w:hAnsi="宋体" w:eastAsia="宋体"/>
          <w:sz w:val="24"/>
          <w:szCs w:val="24"/>
        </w:rPr>
      </w:pPr>
      <w:r>
        <w:rPr>
          <w:rFonts w:hint="eastAsia" w:ascii="宋体" w:hAnsi="宋体" w:eastAsia="宋体"/>
          <w:sz w:val="24"/>
          <w:szCs w:val="24"/>
        </w:rPr>
        <w:t>（1）关于标准建立的问题</w:t>
      </w:r>
    </w:p>
    <w:p w14:paraId="1C75127A">
      <w:pPr>
        <w:spacing w:line="360" w:lineRule="auto"/>
        <w:ind w:firstLine="480" w:firstLineChars="200"/>
        <w:rPr>
          <w:rFonts w:ascii="宋体" w:hAnsi="宋体" w:eastAsia="宋体"/>
          <w:sz w:val="24"/>
          <w:szCs w:val="24"/>
        </w:rPr>
      </w:pPr>
      <w:r>
        <w:rPr>
          <w:rFonts w:hint="eastAsia" w:ascii="宋体" w:hAnsi="宋体" w:eastAsia="宋体"/>
          <w:sz w:val="24"/>
          <w:szCs w:val="24"/>
        </w:rPr>
        <w:t>耐火材料产品碳足迹核算，目前尚未有国家、行业、地方以及团体标准，根据方案精神，鼓励团体标准“先行先立”，企业或协会似乎应争取标准制定的主动权。大家在讨论环节，可以多多献言献策，可以探讨耐火材料产品碳足迹核算团体标准制定的事情。</w:t>
      </w:r>
    </w:p>
    <w:p w14:paraId="1F604587">
      <w:pPr>
        <w:spacing w:line="360" w:lineRule="auto"/>
        <w:ind w:firstLine="480" w:firstLineChars="200"/>
        <w:rPr>
          <w:rFonts w:ascii="宋体" w:hAnsi="宋体" w:eastAsia="宋体"/>
          <w:sz w:val="24"/>
          <w:szCs w:val="24"/>
        </w:rPr>
      </w:pPr>
      <w:r>
        <w:rPr>
          <w:rFonts w:hint="eastAsia" w:ascii="宋体" w:hAnsi="宋体" w:eastAsia="宋体"/>
          <w:sz w:val="24"/>
          <w:szCs w:val="24"/>
        </w:rPr>
        <w:t>（2）关于课程内容的问题</w:t>
      </w:r>
    </w:p>
    <w:p w14:paraId="278275E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产品碳足迹核算工作虽然理论并不高深，但所涉及的内容却较为庞杂，国际和国内相关标准，以及基础碳排放原理内容较多。如果需要系统学习，还是需要耗费一定的时间。所以本次培训立足于“带领”大家了解并掌握基本的流程和方法。</w:t>
      </w:r>
    </w:p>
    <w:p w14:paraId="0DC5140E">
      <w:pPr>
        <w:spacing w:line="360" w:lineRule="auto"/>
        <w:ind w:firstLine="560" w:firstLineChars="200"/>
        <w:rPr>
          <w:rFonts w:ascii="黑体" w:hAnsi="黑体" w:eastAsia="黑体"/>
          <w:sz w:val="28"/>
          <w:szCs w:val="28"/>
        </w:rPr>
      </w:pPr>
      <w:r>
        <w:rPr>
          <w:rFonts w:hint="eastAsia" w:ascii="黑体" w:hAnsi="黑体" w:eastAsia="黑体"/>
          <w:sz w:val="28"/>
          <w:szCs w:val="28"/>
        </w:rPr>
        <w:t>四、时间地点</w:t>
      </w:r>
    </w:p>
    <w:p w14:paraId="42A99D9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（1）时间安排</w:t>
      </w:r>
    </w:p>
    <w:p w14:paraId="2F8935D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时间初步定为1天，上午8:30-12:00；下午13:00-16:30</w:t>
      </w:r>
      <w:r>
        <w:rPr>
          <w:rFonts w:hint="eastAsia" w:ascii="Times New Roman" w:hAnsi="Times New Roman" w:eastAsia="宋体" w:cs="Times New Roman"/>
          <w:sz w:val="24"/>
          <w:szCs w:val="24"/>
        </w:rPr>
        <w:t>，共计7小时。</w:t>
      </w:r>
    </w:p>
    <w:p w14:paraId="202CF153">
      <w:pPr>
        <w:spacing w:line="360" w:lineRule="auto"/>
        <w:ind w:firstLine="480" w:firstLineChars="200"/>
        <w:rPr>
          <w:rFonts w:ascii="宋体" w:hAnsi="宋体" w:eastAsia="宋体"/>
          <w:sz w:val="24"/>
          <w:szCs w:val="24"/>
        </w:rPr>
      </w:pPr>
      <w:r>
        <w:rPr>
          <w:rFonts w:hint="eastAsia" w:ascii="宋体" w:hAnsi="宋体" w:eastAsia="宋体"/>
          <w:sz w:val="24"/>
          <w:szCs w:val="24"/>
        </w:rPr>
        <w:t>（2）地点安排</w:t>
      </w:r>
    </w:p>
    <w:p w14:paraId="2B5D3F2D">
      <w:pPr>
        <w:spacing w:line="360" w:lineRule="auto"/>
        <w:ind w:firstLine="480" w:firstLineChars="200"/>
        <w:rPr>
          <w:rFonts w:hint="eastAsia" w:ascii="黑体" w:hAnsi="黑体" w:eastAsia="黑体"/>
          <w:sz w:val="28"/>
          <w:szCs w:val="28"/>
          <w:lang w:val="en-US" w:eastAsia="zh-CN"/>
        </w:rPr>
      </w:pPr>
      <w:r>
        <w:rPr>
          <w:rFonts w:hint="eastAsia" w:ascii="宋体" w:hAnsi="宋体" w:eastAsia="宋体"/>
          <w:sz w:val="24"/>
          <w:szCs w:val="24"/>
        </w:rPr>
        <w:t>（待定）</w:t>
      </w:r>
    </w:p>
    <w:p w14:paraId="7169A712">
      <w:pPr>
        <w:spacing w:line="360" w:lineRule="auto"/>
        <w:ind w:firstLine="560" w:firstLineChars="200"/>
        <w:rPr>
          <w:rFonts w:ascii="黑体" w:hAnsi="黑体" w:eastAsia="黑体"/>
          <w:sz w:val="28"/>
          <w:szCs w:val="28"/>
        </w:rPr>
      </w:pPr>
      <w:r>
        <w:rPr>
          <w:rFonts w:hint="eastAsia" w:ascii="黑体" w:hAnsi="黑体" w:eastAsia="黑体"/>
          <w:sz w:val="28"/>
          <w:szCs w:val="28"/>
          <w:lang w:val="en-US" w:eastAsia="zh-CN"/>
        </w:rPr>
        <w:t>五</w:t>
      </w:r>
      <w:r>
        <w:rPr>
          <w:rFonts w:hint="eastAsia" w:ascii="黑体" w:hAnsi="黑体" w:eastAsia="黑体"/>
          <w:sz w:val="28"/>
          <w:szCs w:val="28"/>
        </w:rPr>
        <w:t>、培训内容</w:t>
      </w:r>
    </w:p>
    <w:p w14:paraId="2DC47C14">
      <w:pPr>
        <w:spacing w:line="360" w:lineRule="auto"/>
        <w:ind w:firstLine="480" w:firstLineChars="200"/>
        <w:rPr>
          <w:rFonts w:ascii="宋体" w:hAnsi="宋体" w:eastAsia="宋体"/>
          <w:sz w:val="24"/>
          <w:szCs w:val="24"/>
        </w:rPr>
      </w:pPr>
      <w:r>
        <w:rPr>
          <w:rFonts w:hint="eastAsia" w:ascii="宋体" w:hAnsi="宋体" w:eastAsia="宋体"/>
          <w:sz w:val="24"/>
          <w:szCs w:val="24"/>
        </w:rPr>
        <w:t>课程主要内容及说明见表2：</w:t>
      </w:r>
    </w:p>
    <w:p w14:paraId="65D8C4CF">
      <w:pPr>
        <w:spacing w:line="360" w:lineRule="auto"/>
        <w:ind w:firstLine="420" w:firstLineChars="200"/>
        <w:jc w:val="center"/>
        <w:rPr>
          <w:rFonts w:ascii="宋体" w:hAnsi="宋体" w:eastAsia="宋体"/>
          <w:szCs w:val="21"/>
        </w:rPr>
      </w:pPr>
      <w:r>
        <w:rPr>
          <w:rFonts w:hint="eastAsia" w:ascii="宋体" w:hAnsi="宋体" w:eastAsia="宋体"/>
          <w:szCs w:val="21"/>
        </w:rPr>
        <w:t>表</w:t>
      </w:r>
      <w:r>
        <w:rPr>
          <w:rFonts w:ascii="宋体" w:hAnsi="宋体" w:eastAsia="宋体"/>
          <w:szCs w:val="21"/>
        </w:rPr>
        <w:t>2</w:t>
      </w:r>
      <w:r>
        <w:rPr>
          <w:rFonts w:hint="eastAsia" w:ascii="宋体" w:hAnsi="宋体" w:eastAsia="宋体"/>
          <w:szCs w:val="21"/>
        </w:rPr>
        <w:t xml:space="preserve"> 耐火材料碳足迹核算培训课程内容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3118"/>
        <w:gridCol w:w="1355"/>
      </w:tblGrid>
      <w:tr w14:paraId="1E9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8032638">
            <w:pPr>
              <w:jc w:val="center"/>
              <w:rPr>
                <w:rFonts w:ascii="宋体" w:hAnsi="宋体" w:eastAsia="宋体"/>
                <w:sz w:val="18"/>
                <w:szCs w:val="18"/>
              </w:rPr>
            </w:pPr>
            <w:r>
              <w:rPr>
                <w:rFonts w:hint="eastAsia" w:ascii="宋体" w:hAnsi="宋体" w:eastAsia="宋体"/>
                <w:sz w:val="18"/>
                <w:szCs w:val="18"/>
              </w:rPr>
              <w:t>序号</w:t>
            </w:r>
          </w:p>
        </w:tc>
        <w:tc>
          <w:tcPr>
            <w:tcW w:w="3119" w:type="dxa"/>
          </w:tcPr>
          <w:p w14:paraId="3BDE1733">
            <w:pPr>
              <w:jc w:val="center"/>
              <w:rPr>
                <w:rFonts w:ascii="宋体" w:hAnsi="宋体" w:eastAsia="宋体"/>
                <w:szCs w:val="21"/>
              </w:rPr>
            </w:pPr>
            <w:r>
              <w:rPr>
                <w:rFonts w:hint="eastAsia" w:ascii="宋体" w:hAnsi="宋体" w:eastAsia="宋体"/>
                <w:szCs w:val="21"/>
              </w:rPr>
              <w:t>内容框架</w:t>
            </w:r>
          </w:p>
        </w:tc>
        <w:tc>
          <w:tcPr>
            <w:tcW w:w="3118" w:type="dxa"/>
          </w:tcPr>
          <w:p w14:paraId="522CC5BC">
            <w:pPr>
              <w:jc w:val="center"/>
              <w:rPr>
                <w:rFonts w:ascii="宋体" w:hAnsi="宋体" w:eastAsia="宋体"/>
                <w:szCs w:val="21"/>
              </w:rPr>
            </w:pPr>
            <w:r>
              <w:rPr>
                <w:rFonts w:hint="eastAsia" w:ascii="宋体" w:hAnsi="宋体" w:eastAsia="宋体"/>
                <w:szCs w:val="21"/>
              </w:rPr>
              <w:t>细分内容</w:t>
            </w:r>
          </w:p>
        </w:tc>
        <w:tc>
          <w:tcPr>
            <w:tcW w:w="1355" w:type="dxa"/>
          </w:tcPr>
          <w:p w14:paraId="1AAA9EB5">
            <w:pPr>
              <w:jc w:val="center"/>
              <w:rPr>
                <w:rFonts w:ascii="宋体" w:hAnsi="宋体" w:eastAsia="宋体"/>
                <w:szCs w:val="21"/>
              </w:rPr>
            </w:pPr>
            <w:r>
              <w:rPr>
                <w:rFonts w:hint="eastAsia" w:ascii="宋体" w:hAnsi="宋体" w:eastAsia="宋体"/>
                <w:szCs w:val="21"/>
              </w:rPr>
              <w:t>备注说明</w:t>
            </w:r>
          </w:p>
        </w:tc>
      </w:tr>
      <w:tr w14:paraId="59A7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B3ED550">
            <w:pPr>
              <w:jc w:val="center"/>
              <w:rPr>
                <w:rFonts w:ascii="宋体" w:hAnsi="宋体" w:eastAsia="宋体"/>
                <w:sz w:val="18"/>
                <w:szCs w:val="18"/>
              </w:rPr>
            </w:pPr>
            <w:r>
              <w:rPr>
                <w:rFonts w:hint="eastAsia" w:ascii="宋体" w:hAnsi="宋体" w:eastAsia="宋体"/>
                <w:sz w:val="18"/>
                <w:szCs w:val="18"/>
              </w:rPr>
              <w:t>1</w:t>
            </w:r>
          </w:p>
        </w:tc>
        <w:tc>
          <w:tcPr>
            <w:tcW w:w="3119" w:type="dxa"/>
            <w:vAlign w:val="center"/>
          </w:tcPr>
          <w:p w14:paraId="248A2BC4">
            <w:pPr>
              <w:rPr>
                <w:rFonts w:ascii="宋体" w:hAnsi="宋体" w:eastAsia="宋体"/>
                <w:szCs w:val="21"/>
              </w:rPr>
            </w:pPr>
            <w:r>
              <w:rPr>
                <w:rFonts w:hint="eastAsia" w:ascii="宋体" w:hAnsi="宋体" w:eastAsia="宋体"/>
                <w:szCs w:val="21"/>
              </w:rPr>
              <w:t>开展碳足迹核算的背景和沿革</w:t>
            </w:r>
          </w:p>
        </w:tc>
        <w:tc>
          <w:tcPr>
            <w:tcW w:w="3118" w:type="dxa"/>
            <w:vAlign w:val="center"/>
          </w:tcPr>
          <w:p w14:paraId="63BDBF8A">
            <w:pPr>
              <w:rPr>
                <w:rFonts w:hint="eastAsia" w:ascii="宋体" w:hAnsi="宋体" w:eastAsia="宋体"/>
                <w:szCs w:val="21"/>
              </w:rPr>
            </w:pPr>
            <w:r>
              <w:rPr>
                <w:rFonts w:hint="eastAsia" w:ascii="宋体" w:hAnsi="宋体" w:eastAsia="宋体"/>
                <w:szCs w:val="21"/>
              </w:rPr>
              <w:t>国际与国内政策，碳足迹的起源和发展、定义分类等</w:t>
            </w:r>
          </w:p>
        </w:tc>
        <w:tc>
          <w:tcPr>
            <w:tcW w:w="1355" w:type="dxa"/>
            <w:vAlign w:val="center"/>
          </w:tcPr>
          <w:p w14:paraId="0169F9F6">
            <w:pPr>
              <w:rPr>
                <w:rFonts w:ascii="宋体" w:hAnsi="宋体" w:eastAsia="宋体"/>
                <w:szCs w:val="21"/>
              </w:rPr>
            </w:pPr>
            <w:r>
              <w:rPr>
                <w:rFonts w:hint="eastAsia" w:ascii="宋体" w:hAnsi="宋体" w:eastAsia="宋体"/>
                <w:szCs w:val="21"/>
              </w:rPr>
              <w:t>适合领导掌握政策方向</w:t>
            </w:r>
          </w:p>
        </w:tc>
      </w:tr>
      <w:tr w14:paraId="6C8A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8419982">
            <w:pPr>
              <w:jc w:val="center"/>
              <w:rPr>
                <w:rFonts w:ascii="宋体" w:hAnsi="宋体" w:eastAsia="宋体"/>
                <w:sz w:val="18"/>
                <w:szCs w:val="18"/>
              </w:rPr>
            </w:pPr>
            <w:r>
              <w:rPr>
                <w:rFonts w:hint="eastAsia" w:ascii="宋体" w:hAnsi="宋体" w:eastAsia="宋体"/>
                <w:sz w:val="18"/>
                <w:szCs w:val="18"/>
              </w:rPr>
              <w:t>2</w:t>
            </w:r>
          </w:p>
        </w:tc>
        <w:tc>
          <w:tcPr>
            <w:tcW w:w="3119" w:type="dxa"/>
            <w:vAlign w:val="center"/>
          </w:tcPr>
          <w:p w14:paraId="07AB0E7C">
            <w:pPr>
              <w:rPr>
                <w:rFonts w:ascii="宋体" w:hAnsi="宋体" w:eastAsia="宋体"/>
                <w:szCs w:val="21"/>
              </w:rPr>
            </w:pPr>
            <w:r>
              <w:rPr>
                <w:rFonts w:hint="eastAsia" w:ascii="宋体" w:hAnsi="宋体" w:eastAsia="宋体"/>
                <w:szCs w:val="21"/>
              </w:rPr>
              <w:t>生命周期评价L</w:t>
            </w:r>
            <w:r>
              <w:rPr>
                <w:rFonts w:ascii="宋体" w:hAnsi="宋体" w:eastAsia="宋体"/>
                <w:szCs w:val="21"/>
              </w:rPr>
              <w:t>CA</w:t>
            </w:r>
            <w:r>
              <w:rPr>
                <w:rFonts w:hint="eastAsia" w:ascii="宋体" w:hAnsi="宋体" w:eastAsia="宋体"/>
                <w:szCs w:val="21"/>
              </w:rPr>
              <w:t>介绍</w:t>
            </w:r>
          </w:p>
        </w:tc>
        <w:tc>
          <w:tcPr>
            <w:tcW w:w="3118" w:type="dxa"/>
            <w:vAlign w:val="center"/>
          </w:tcPr>
          <w:p w14:paraId="48576112">
            <w:pPr>
              <w:rPr>
                <w:rFonts w:ascii="宋体" w:hAnsi="宋体" w:eastAsia="宋体"/>
                <w:szCs w:val="21"/>
              </w:rPr>
            </w:pPr>
            <w:r>
              <w:rPr>
                <w:rFonts w:hint="eastAsia" w:ascii="宋体" w:hAnsi="宋体" w:eastAsia="宋体"/>
                <w:szCs w:val="21"/>
              </w:rPr>
              <w:t>生命周期评价及其与碳足迹的关系。</w:t>
            </w:r>
          </w:p>
        </w:tc>
        <w:tc>
          <w:tcPr>
            <w:tcW w:w="1355" w:type="dxa"/>
            <w:vMerge w:val="restart"/>
            <w:vAlign w:val="center"/>
          </w:tcPr>
          <w:p w14:paraId="5B33C7F4">
            <w:pPr>
              <w:rPr>
                <w:rFonts w:ascii="宋体" w:hAnsi="宋体" w:eastAsia="宋体"/>
                <w:szCs w:val="21"/>
              </w:rPr>
            </w:pPr>
            <w:r>
              <w:rPr>
                <w:rFonts w:hint="eastAsia" w:ascii="宋体" w:hAnsi="宋体" w:eastAsia="宋体"/>
                <w:szCs w:val="21"/>
              </w:rPr>
              <w:t>技术实操人员需要了解</w:t>
            </w:r>
          </w:p>
        </w:tc>
      </w:tr>
      <w:tr w14:paraId="76F3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24F6B1D">
            <w:pPr>
              <w:jc w:val="center"/>
              <w:rPr>
                <w:rFonts w:ascii="宋体" w:hAnsi="宋体" w:eastAsia="宋体"/>
                <w:sz w:val="18"/>
                <w:szCs w:val="18"/>
              </w:rPr>
            </w:pPr>
            <w:r>
              <w:rPr>
                <w:rFonts w:hint="eastAsia" w:ascii="宋体" w:hAnsi="宋体" w:eastAsia="宋体"/>
                <w:sz w:val="18"/>
                <w:szCs w:val="18"/>
              </w:rPr>
              <w:t>3</w:t>
            </w:r>
          </w:p>
        </w:tc>
        <w:tc>
          <w:tcPr>
            <w:tcW w:w="3119" w:type="dxa"/>
            <w:vAlign w:val="center"/>
          </w:tcPr>
          <w:p w14:paraId="5BCCFECA">
            <w:pPr>
              <w:rPr>
                <w:rFonts w:ascii="宋体" w:hAnsi="宋体" w:eastAsia="宋体"/>
                <w:szCs w:val="21"/>
              </w:rPr>
            </w:pPr>
            <w:r>
              <w:rPr>
                <w:rFonts w:hint="eastAsia" w:ascii="宋体" w:hAnsi="宋体" w:eastAsia="宋体"/>
                <w:szCs w:val="21"/>
              </w:rPr>
              <w:t>碳足迹核算标准与方法</w:t>
            </w:r>
          </w:p>
        </w:tc>
        <w:tc>
          <w:tcPr>
            <w:tcW w:w="3118" w:type="dxa"/>
            <w:vAlign w:val="center"/>
          </w:tcPr>
          <w:p w14:paraId="6257819E">
            <w:pPr>
              <w:rPr>
                <w:rFonts w:hint="eastAsia" w:ascii="宋体" w:hAnsi="宋体" w:eastAsia="宋体"/>
                <w:szCs w:val="21"/>
              </w:rPr>
            </w:pPr>
            <w:r>
              <w:rPr>
                <w:rFonts w:hint="eastAsia" w:ascii="宋体" w:hAnsi="宋体" w:eastAsia="宋体"/>
                <w:szCs w:val="21"/>
              </w:rPr>
              <w:t>各类相关标准及对比分析，基本核算流程及方法介绍。</w:t>
            </w:r>
          </w:p>
        </w:tc>
        <w:tc>
          <w:tcPr>
            <w:tcW w:w="1355" w:type="dxa"/>
            <w:vMerge w:val="continue"/>
            <w:vAlign w:val="center"/>
          </w:tcPr>
          <w:p w14:paraId="52147C5D">
            <w:pPr>
              <w:rPr>
                <w:rFonts w:ascii="宋体" w:hAnsi="宋体" w:eastAsia="宋体"/>
                <w:szCs w:val="21"/>
              </w:rPr>
            </w:pPr>
          </w:p>
        </w:tc>
      </w:tr>
      <w:tr w14:paraId="445F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4EC7A91">
            <w:pPr>
              <w:jc w:val="center"/>
              <w:rPr>
                <w:rFonts w:ascii="宋体" w:hAnsi="宋体" w:eastAsia="宋体"/>
                <w:sz w:val="18"/>
                <w:szCs w:val="18"/>
              </w:rPr>
            </w:pPr>
            <w:r>
              <w:rPr>
                <w:rFonts w:hint="eastAsia" w:ascii="宋体" w:hAnsi="宋体" w:eastAsia="宋体"/>
                <w:sz w:val="18"/>
                <w:szCs w:val="18"/>
              </w:rPr>
              <w:t>4</w:t>
            </w:r>
          </w:p>
        </w:tc>
        <w:tc>
          <w:tcPr>
            <w:tcW w:w="3119" w:type="dxa"/>
            <w:vAlign w:val="center"/>
          </w:tcPr>
          <w:p w14:paraId="7F26BA27">
            <w:pPr>
              <w:rPr>
                <w:rFonts w:ascii="宋体" w:hAnsi="宋体" w:eastAsia="宋体"/>
                <w:szCs w:val="21"/>
              </w:rPr>
            </w:pPr>
            <w:r>
              <w:rPr>
                <w:rFonts w:hint="eastAsia" w:ascii="宋体" w:hAnsi="宋体" w:eastAsia="宋体"/>
                <w:szCs w:val="21"/>
              </w:rPr>
              <w:t>碳足迹数据库</w:t>
            </w:r>
          </w:p>
        </w:tc>
        <w:tc>
          <w:tcPr>
            <w:tcW w:w="3118" w:type="dxa"/>
            <w:vAlign w:val="center"/>
          </w:tcPr>
          <w:p w14:paraId="0BC07430">
            <w:pPr>
              <w:rPr>
                <w:rFonts w:ascii="宋体" w:hAnsi="宋体" w:eastAsia="宋体"/>
                <w:szCs w:val="21"/>
              </w:rPr>
            </w:pPr>
            <w:r>
              <w:rPr>
                <w:rFonts w:hint="eastAsia" w:ascii="宋体" w:hAnsi="宋体" w:eastAsia="宋体"/>
                <w:szCs w:val="21"/>
              </w:rPr>
              <w:t>数据库介绍以及如何使用。</w:t>
            </w:r>
          </w:p>
        </w:tc>
        <w:tc>
          <w:tcPr>
            <w:tcW w:w="1355" w:type="dxa"/>
            <w:vMerge w:val="continue"/>
            <w:vAlign w:val="center"/>
          </w:tcPr>
          <w:p w14:paraId="71361F64">
            <w:pPr>
              <w:rPr>
                <w:rFonts w:ascii="宋体" w:hAnsi="宋体" w:eastAsia="宋体"/>
                <w:szCs w:val="21"/>
              </w:rPr>
            </w:pPr>
          </w:p>
        </w:tc>
      </w:tr>
      <w:tr w14:paraId="047F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0F065F4">
            <w:pPr>
              <w:jc w:val="center"/>
              <w:rPr>
                <w:rFonts w:ascii="宋体" w:hAnsi="宋体" w:eastAsia="宋体"/>
                <w:sz w:val="18"/>
                <w:szCs w:val="18"/>
              </w:rPr>
            </w:pPr>
            <w:r>
              <w:rPr>
                <w:rFonts w:hint="eastAsia" w:ascii="宋体" w:hAnsi="宋体" w:eastAsia="宋体"/>
                <w:sz w:val="18"/>
                <w:szCs w:val="18"/>
              </w:rPr>
              <w:t>5</w:t>
            </w:r>
          </w:p>
        </w:tc>
        <w:tc>
          <w:tcPr>
            <w:tcW w:w="3119" w:type="dxa"/>
            <w:vAlign w:val="center"/>
          </w:tcPr>
          <w:p w14:paraId="7183F4BD">
            <w:pPr>
              <w:rPr>
                <w:rFonts w:hint="eastAsia" w:ascii="宋体" w:hAnsi="宋体" w:eastAsia="宋体"/>
                <w:szCs w:val="21"/>
              </w:rPr>
            </w:pPr>
            <w:r>
              <w:rPr>
                <w:rFonts w:hint="eastAsia" w:ascii="宋体" w:hAnsi="宋体" w:eastAsia="宋体"/>
                <w:szCs w:val="21"/>
              </w:rPr>
              <w:t>碳足迹核查及报告应用</w:t>
            </w:r>
          </w:p>
        </w:tc>
        <w:tc>
          <w:tcPr>
            <w:tcW w:w="3118" w:type="dxa"/>
            <w:vAlign w:val="center"/>
          </w:tcPr>
          <w:p w14:paraId="6E50F237">
            <w:pPr>
              <w:rPr>
                <w:rFonts w:hint="eastAsia" w:ascii="宋体" w:hAnsi="宋体" w:eastAsia="宋体"/>
                <w:szCs w:val="21"/>
              </w:rPr>
            </w:pPr>
            <w:r>
              <w:rPr>
                <w:rFonts w:hint="eastAsia" w:ascii="宋体" w:hAnsi="宋体" w:eastAsia="宋体"/>
                <w:szCs w:val="21"/>
              </w:rPr>
              <w:t>报告与应用流程介绍。</w:t>
            </w:r>
          </w:p>
        </w:tc>
        <w:tc>
          <w:tcPr>
            <w:tcW w:w="1355" w:type="dxa"/>
            <w:vMerge w:val="continue"/>
            <w:vAlign w:val="center"/>
          </w:tcPr>
          <w:p w14:paraId="3269160D">
            <w:pPr>
              <w:rPr>
                <w:rFonts w:ascii="宋体" w:hAnsi="宋体" w:eastAsia="宋体"/>
                <w:szCs w:val="21"/>
              </w:rPr>
            </w:pPr>
          </w:p>
        </w:tc>
      </w:tr>
      <w:tr w14:paraId="4BF1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493931B">
            <w:pPr>
              <w:jc w:val="center"/>
              <w:rPr>
                <w:rFonts w:ascii="宋体" w:hAnsi="宋体" w:eastAsia="宋体"/>
                <w:sz w:val="18"/>
                <w:szCs w:val="18"/>
              </w:rPr>
            </w:pPr>
            <w:r>
              <w:rPr>
                <w:rFonts w:hint="eastAsia" w:ascii="宋体" w:hAnsi="宋体" w:eastAsia="宋体"/>
                <w:sz w:val="18"/>
                <w:szCs w:val="18"/>
              </w:rPr>
              <w:t>6</w:t>
            </w:r>
          </w:p>
        </w:tc>
        <w:tc>
          <w:tcPr>
            <w:tcW w:w="3119" w:type="dxa"/>
            <w:vAlign w:val="center"/>
          </w:tcPr>
          <w:p w14:paraId="1C7F5557">
            <w:pPr>
              <w:rPr>
                <w:rFonts w:hint="eastAsia" w:ascii="宋体" w:hAnsi="宋体" w:eastAsia="宋体"/>
                <w:szCs w:val="21"/>
              </w:rPr>
            </w:pPr>
            <w:r>
              <w:rPr>
                <w:rFonts w:hint="eastAsia" w:ascii="宋体" w:hAnsi="宋体" w:eastAsia="宋体"/>
                <w:szCs w:val="21"/>
              </w:rPr>
              <w:t>耐火材料碳足迹核算实操</w:t>
            </w:r>
          </w:p>
        </w:tc>
        <w:tc>
          <w:tcPr>
            <w:tcW w:w="3118" w:type="dxa"/>
            <w:vAlign w:val="center"/>
          </w:tcPr>
          <w:p w14:paraId="5BF9BEF9">
            <w:pPr>
              <w:rPr>
                <w:rFonts w:hint="eastAsia" w:ascii="宋体" w:hAnsi="宋体" w:eastAsia="宋体"/>
                <w:szCs w:val="21"/>
              </w:rPr>
            </w:pPr>
            <w:r>
              <w:rPr>
                <w:rFonts w:hint="eastAsia" w:ascii="宋体" w:hAnsi="宋体" w:eastAsia="宋体"/>
                <w:szCs w:val="21"/>
              </w:rPr>
              <w:t>引入耐火材料进行核算实操。</w:t>
            </w:r>
          </w:p>
        </w:tc>
        <w:tc>
          <w:tcPr>
            <w:tcW w:w="1355" w:type="dxa"/>
            <w:vMerge w:val="continue"/>
            <w:vAlign w:val="center"/>
          </w:tcPr>
          <w:p w14:paraId="17204488">
            <w:pPr>
              <w:rPr>
                <w:rFonts w:ascii="宋体" w:hAnsi="宋体" w:eastAsia="宋体"/>
                <w:szCs w:val="21"/>
              </w:rPr>
            </w:pPr>
          </w:p>
        </w:tc>
      </w:tr>
      <w:tr w14:paraId="0C94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4BA4307">
            <w:pPr>
              <w:jc w:val="center"/>
              <w:rPr>
                <w:rFonts w:ascii="宋体" w:hAnsi="宋体" w:eastAsia="宋体"/>
                <w:sz w:val="18"/>
                <w:szCs w:val="18"/>
              </w:rPr>
            </w:pPr>
            <w:r>
              <w:rPr>
                <w:rFonts w:hint="eastAsia" w:ascii="宋体" w:hAnsi="宋体" w:eastAsia="宋体"/>
                <w:sz w:val="18"/>
                <w:szCs w:val="18"/>
              </w:rPr>
              <w:t>7</w:t>
            </w:r>
          </w:p>
        </w:tc>
        <w:tc>
          <w:tcPr>
            <w:tcW w:w="3119" w:type="dxa"/>
            <w:vAlign w:val="center"/>
          </w:tcPr>
          <w:p w14:paraId="48AA23D5">
            <w:pPr>
              <w:rPr>
                <w:rFonts w:ascii="宋体" w:hAnsi="宋体" w:eastAsia="宋体"/>
                <w:szCs w:val="21"/>
              </w:rPr>
            </w:pPr>
            <w:r>
              <w:rPr>
                <w:rFonts w:hint="eastAsia" w:ascii="宋体" w:hAnsi="宋体" w:eastAsia="宋体"/>
                <w:szCs w:val="21"/>
              </w:rPr>
              <w:t>沟通与问题讨论</w:t>
            </w:r>
          </w:p>
        </w:tc>
        <w:tc>
          <w:tcPr>
            <w:tcW w:w="3118" w:type="dxa"/>
            <w:vAlign w:val="center"/>
          </w:tcPr>
          <w:p w14:paraId="422D7660">
            <w:pPr>
              <w:rPr>
                <w:rFonts w:ascii="宋体" w:hAnsi="宋体" w:eastAsia="宋体"/>
                <w:szCs w:val="21"/>
              </w:rPr>
            </w:pPr>
            <w:r>
              <w:rPr>
                <w:rFonts w:hint="eastAsia" w:ascii="宋体" w:hAnsi="宋体" w:eastAsia="宋体"/>
                <w:szCs w:val="21"/>
              </w:rPr>
              <w:t>/</w:t>
            </w:r>
          </w:p>
        </w:tc>
        <w:tc>
          <w:tcPr>
            <w:tcW w:w="1355" w:type="dxa"/>
            <w:vAlign w:val="center"/>
          </w:tcPr>
          <w:p w14:paraId="65230C1A">
            <w:pPr>
              <w:rPr>
                <w:rFonts w:ascii="宋体" w:hAnsi="宋体" w:eastAsia="宋体"/>
                <w:szCs w:val="21"/>
              </w:rPr>
            </w:pPr>
            <w:r>
              <w:rPr>
                <w:rFonts w:hint="eastAsia" w:ascii="宋体" w:hAnsi="宋体" w:eastAsia="宋体"/>
                <w:szCs w:val="21"/>
              </w:rPr>
              <w:t>全员</w:t>
            </w:r>
          </w:p>
        </w:tc>
      </w:tr>
    </w:tbl>
    <w:p w14:paraId="7077F61C">
      <w:pPr>
        <w:spacing w:line="360" w:lineRule="auto"/>
        <w:ind w:firstLine="560" w:firstLineChars="200"/>
        <w:rPr>
          <w:rFonts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、其他事项</w:t>
      </w:r>
    </w:p>
    <w:p w14:paraId="6F8BAF6D">
      <w:pPr>
        <w:spacing w:line="48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内容分享人介绍见下表：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0D78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4F9F861">
            <w:pPr>
              <w:spacing w:line="48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1221740" cy="1158875"/>
                  <wp:effectExtent l="0" t="0" r="1651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249324" cy="1185106"/>
                          </a:xfrm>
                          <a:prstGeom prst="rect">
                            <a:avLst/>
                          </a:prstGeom>
                        </pic:spPr>
                      </pic:pic>
                    </a:graphicData>
                  </a:graphic>
                </wp:inline>
              </w:drawing>
            </w:r>
          </w:p>
        </w:tc>
        <w:tc>
          <w:tcPr>
            <w:tcW w:w="6033" w:type="dxa"/>
          </w:tcPr>
          <w:p w14:paraId="1BAA856F">
            <w:pPr>
              <w:pStyle w:val="3"/>
              <w:shd w:val="clear" w:color="auto" w:fill="FFFFFF"/>
              <w:spacing w:before="0" w:beforeAutospacing="0" w:after="0" w:afterAutospacing="0"/>
              <w:jc w:val="both"/>
              <w:rPr>
                <w:rFonts w:ascii="Microsoft YaHei UI" w:hAnsi="Microsoft YaHei UI" w:eastAsia="Microsoft YaHei UI"/>
                <w:b/>
                <w:spacing w:val="8"/>
                <w:sz w:val="18"/>
                <w:szCs w:val="18"/>
              </w:rPr>
            </w:pPr>
            <w:r>
              <w:rPr>
                <w:rStyle w:val="7"/>
                <w:rFonts w:hint="eastAsia" w:ascii="Microsoft YaHei UI" w:hAnsi="Microsoft YaHei UI" w:eastAsia="Microsoft YaHei UI"/>
                <w:b w:val="0"/>
                <w:spacing w:val="9"/>
                <w:sz w:val="18"/>
                <w:szCs w:val="18"/>
              </w:rPr>
              <w:t>马照东——高级工程师</w:t>
            </w:r>
          </w:p>
          <w:p w14:paraId="54BA6319">
            <w:pPr>
              <w:rPr>
                <w:rFonts w:ascii="Times New Roman" w:hAnsi="Times New Roman" w:eastAsia="宋体" w:cs="Times New Roman"/>
                <w:sz w:val="24"/>
                <w:szCs w:val="24"/>
              </w:rPr>
            </w:pPr>
            <w:r>
              <w:rPr>
                <w:rFonts w:hint="eastAsia" w:ascii="等线" w:hAnsi="等线" w:eastAsia="等线"/>
                <w:spacing w:val="9"/>
                <w:sz w:val="18"/>
                <w:szCs w:val="18"/>
              </w:rPr>
              <w:t>硕士研究生学历，工学硕士，党员；北京市绿色产业发展促进会技术专家，北京市能源学会技术专家。北京市能源管理师，CCAA国家注册碳核查员，清洁生产审核师；主要专业领域为能源管理、能效提升和温室气体减排。长期从事相关领域科研课题研究与技术服务工作。主持并参与国家部委、北京市及企业各类科研课题30余项；承担全国能源管理体系建设、节能量审核、能源审计（诊断）、清洁生产审核和碳排放核查等项目近200项，具有深厚理论功底和丰富一线工作经验。出版著作：《中国不同发电能源的温室气体排放》（风电篇第一执笔人）；参编《建材行业碳排放核查管理与实践》。</w:t>
            </w:r>
          </w:p>
        </w:tc>
      </w:tr>
    </w:tbl>
    <w:p w14:paraId="79BC76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ZGU2MWFjOWI3NzlmZmZiMDg0M2QxNzg0MjY3ZGQifQ=="/>
  </w:docVars>
  <w:rsids>
    <w:rsidRoot w:val="4BD7557A"/>
    <w:rsid w:val="4BD7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2024-06-19T03:18:00Z</dcterms:created>
  <dc:creator>涛</dc:creator>
  <cp:lastModifiedBy>涛</cp:lastModifiedBy>
  <dcterms:modified xsi:type="dcterms:W3CDTF">2024-06-19T03:19:10Z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C6167F42829F4F988CD95FD2334FF564_11</vt:lpwstr>
  </property>
</Properties>
</file>